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78" w:rsidRDefault="00966CBD" w:rsidP="00966CB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 w:rsidRPr="00966CBD">
        <w:rPr>
          <w:rFonts w:ascii="Times New Roman" w:hAnsi="Times New Roman" w:cs="Times New Roman"/>
          <w:b/>
          <w:sz w:val="28"/>
          <w:szCs w:val="24"/>
          <w:lang w:val="en-ID"/>
        </w:rPr>
        <w:t>FORMAT RINGKAS DOKUMEN KEBIJAKAN SPMI PERGURUAN TINGGI</w:t>
      </w:r>
    </w:p>
    <w:p w:rsidR="00966CBD" w:rsidRPr="00966CBD" w:rsidRDefault="00966CBD" w:rsidP="00966C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330"/>
        <w:gridCol w:w="5400"/>
      </w:tblGrid>
      <w:tr w:rsidR="00966CBD" w:rsidRPr="00966CBD" w:rsidTr="00966CBD">
        <w:trPr>
          <w:trHeight w:val="512"/>
          <w:tblHeader/>
        </w:trPr>
        <w:tc>
          <w:tcPr>
            <w:tcW w:w="648" w:type="dxa"/>
            <w:shd w:val="clear" w:color="auto" w:fill="95B3D7" w:themeFill="accent1" w:themeFillTint="99"/>
            <w:vAlign w:val="center"/>
          </w:tcPr>
          <w:p w:rsidR="00966CBD" w:rsidRPr="00966CBD" w:rsidRDefault="00966CBD" w:rsidP="0096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966CBD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NO</w:t>
            </w:r>
          </w:p>
        </w:tc>
        <w:tc>
          <w:tcPr>
            <w:tcW w:w="3330" w:type="dxa"/>
            <w:shd w:val="clear" w:color="auto" w:fill="95B3D7" w:themeFill="accent1" w:themeFillTint="99"/>
            <w:vAlign w:val="center"/>
          </w:tcPr>
          <w:p w:rsidR="00966CBD" w:rsidRPr="00966CBD" w:rsidRDefault="00966CBD" w:rsidP="0096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966CBD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BAGIAN</w:t>
            </w:r>
          </w:p>
        </w:tc>
        <w:tc>
          <w:tcPr>
            <w:tcW w:w="5400" w:type="dxa"/>
            <w:shd w:val="clear" w:color="auto" w:fill="95B3D7" w:themeFill="accent1" w:themeFillTint="99"/>
            <w:vAlign w:val="center"/>
          </w:tcPr>
          <w:p w:rsidR="00966CBD" w:rsidRPr="00966CBD" w:rsidRDefault="00966CBD" w:rsidP="0096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966CBD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ISI</w:t>
            </w:r>
          </w:p>
        </w:tc>
      </w:tr>
      <w:tr w:rsidR="00966CBD" w:rsidRPr="00966CBD" w:rsidTr="00966CBD">
        <w:tc>
          <w:tcPr>
            <w:tcW w:w="648" w:type="dxa"/>
          </w:tcPr>
          <w:p w:rsidR="00966CBD" w:rsidRPr="00966CBD" w:rsidRDefault="00966CBD" w:rsidP="00966CBD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3330" w:type="dxa"/>
          </w:tcPr>
          <w:p w:rsidR="00966CBD" w:rsidRPr="00966CBD" w:rsidRDefault="00966CBD" w:rsidP="00966C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Judul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Di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Halaman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Depan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/Cover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Dokumen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Kebijakan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SPMI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Perguruan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Tinggi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5400" w:type="dxa"/>
          </w:tcPr>
          <w:p w:rsidR="00966CBD" w:rsidRPr="00966CBD" w:rsidRDefault="00966CBD" w:rsidP="00966C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Halaman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berisi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informasi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tentang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  <w:p w:rsidR="00966CBD" w:rsidRPr="00966CBD" w:rsidRDefault="00966CBD" w:rsidP="00966CBD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Judul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dokumen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‘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kebijakan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SPMI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universitas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………..</w:t>
            </w:r>
            <w:proofErr w:type="gram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’:</w:t>
            </w:r>
            <w:proofErr w:type="gramEnd"/>
          </w:p>
          <w:p w:rsidR="00966CBD" w:rsidRPr="00966CBD" w:rsidRDefault="00966CBD" w:rsidP="00966CBD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Nomor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indentifikasi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atau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pengkodean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dokumen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kebijakan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SPMI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perguruan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tinggi</w:t>
            </w:r>
            <w:proofErr w:type="spellEnd"/>
          </w:p>
          <w:p w:rsidR="00966CBD" w:rsidRPr="00966CBD" w:rsidRDefault="00966CBD" w:rsidP="00966CBD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Tanggal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bulan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tahun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pemberlakuan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serta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nomor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edisi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(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bila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ada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)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dari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dokumen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kebijakan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SPMI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perguruan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tinggi</w:t>
            </w:r>
            <w:proofErr w:type="spellEnd"/>
          </w:p>
        </w:tc>
      </w:tr>
      <w:tr w:rsidR="00966CBD" w:rsidRPr="00966CBD" w:rsidTr="00966CBD">
        <w:tc>
          <w:tcPr>
            <w:tcW w:w="648" w:type="dxa"/>
          </w:tcPr>
          <w:p w:rsidR="00966CBD" w:rsidRPr="00966CBD" w:rsidRDefault="00966CBD" w:rsidP="00966CBD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3330" w:type="dxa"/>
          </w:tcPr>
          <w:p w:rsidR="00966CBD" w:rsidRPr="00966CBD" w:rsidRDefault="00966CBD" w:rsidP="00966C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Visi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Misi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Tujuan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Perguruan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Tinggi</w:t>
            </w:r>
            <w:proofErr w:type="spellEnd"/>
          </w:p>
        </w:tc>
        <w:tc>
          <w:tcPr>
            <w:tcW w:w="5400" w:type="dxa"/>
          </w:tcPr>
          <w:p w:rsidR="00966CBD" w:rsidRPr="00966CBD" w:rsidRDefault="00966CBD" w:rsidP="00966C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Uraikan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pada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bagian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pernyataan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visi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misi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tujuan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dari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perguruan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tinggi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Hal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penting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karena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SPMI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perguruan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tinggi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dibuat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dilaksanakan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ditingkatkan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secara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berkelanjutan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untuk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mewujudkan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visi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misi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tujuan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perguruan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tinggi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Seluruh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standard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pendidikan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tinggi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dalam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SPMI di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perguruan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tinggi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diturunkan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dari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visi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misi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tujuan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perguruan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tinggi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bersangkutan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</w:tc>
      </w:tr>
      <w:tr w:rsidR="00966CBD" w:rsidRPr="00966CBD" w:rsidTr="00966CBD">
        <w:tc>
          <w:tcPr>
            <w:tcW w:w="648" w:type="dxa"/>
          </w:tcPr>
          <w:p w:rsidR="00966CBD" w:rsidRPr="00966CBD" w:rsidRDefault="00966CBD" w:rsidP="00966CBD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3330" w:type="dxa"/>
          </w:tcPr>
          <w:p w:rsidR="00966CBD" w:rsidRPr="00966CBD" w:rsidRDefault="00966CBD" w:rsidP="00966C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Tujuan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dari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kebijakan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SPMI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perguruan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tinggi</w:t>
            </w:r>
            <w:proofErr w:type="spellEnd"/>
          </w:p>
        </w:tc>
        <w:tc>
          <w:tcPr>
            <w:tcW w:w="5400" w:type="dxa"/>
          </w:tcPr>
          <w:p w:rsidR="00966CBD" w:rsidRPr="00966CBD" w:rsidRDefault="00966CBD" w:rsidP="00966C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Sebutkan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tujuan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penetapan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kebijakan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SPMI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perguruan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tinggi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misalnya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sebagai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‘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landasan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’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bagi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pelaksanaan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SPMI di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perguruan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tinggi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bukti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bahwa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perguruan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tinggi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memiliki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SPMI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perguruan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tinggi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dsb</w:t>
            </w:r>
            <w:proofErr w:type="spellEnd"/>
          </w:p>
        </w:tc>
      </w:tr>
      <w:tr w:rsidR="00966CBD" w:rsidRPr="00966CBD" w:rsidTr="00966CBD">
        <w:tc>
          <w:tcPr>
            <w:tcW w:w="648" w:type="dxa"/>
          </w:tcPr>
          <w:p w:rsidR="00966CBD" w:rsidRPr="00966CBD" w:rsidRDefault="00966CBD" w:rsidP="00966CBD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3330" w:type="dxa"/>
          </w:tcPr>
          <w:p w:rsidR="00966CBD" w:rsidRPr="00966CBD" w:rsidRDefault="00966CBD" w:rsidP="00966C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Ruang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lingkup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kebijakan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SPMI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perguruan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tinggi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5400" w:type="dxa"/>
          </w:tcPr>
          <w:p w:rsidR="00966CBD" w:rsidRPr="00966CBD" w:rsidRDefault="00966CBD" w:rsidP="00966C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Pada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bagian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diuraikan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ruang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lingkup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dari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SPMI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perguruan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tinggi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untuk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jangka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pendek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maupun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jangka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panjang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Misalnua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SMPI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perguuruan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tinggi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untuk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tahap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awal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akan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focus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pada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aspek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akademik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kemudian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dalam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kurun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waktu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tertentu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akan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mencakup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pula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aspek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lain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dari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penyelenggaraan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pendidikan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tinggi</w:t>
            </w:r>
            <w:proofErr w:type="spellEnd"/>
          </w:p>
        </w:tc>
      </w:tr>
      <w:tr w:rsidR="00966CBD" w:rsidRPr="00966CBD" w:rsidTr="00966CBD">
        <w:tc>
          <w:tcPr>
            <w:tcW w:w="648" w:type="dxa"/>
          </w:tcPr>
          <w:p w:rsidR="00966CBD" w:rsidRPr="00966CBD" w:rsidRDefault="00966CBD" w:rsidP="00966CBD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3330" w:type="dxa"/>
          </w:tcPr>
          <w:p w:rsidR="00966CBD" w:rsidRPr="00966CBD" w:rsidRDefault="00966CBD" w:rsidP="00966C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Pihak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wajib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menerapkan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kebijakan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SPMI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perguruan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tinggi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5400" w:type="dxa"/>
          </w:tcPr>
          <w:p w:rsidR="00966CBD" w:rsidRPr="00966CBD" w:rsidRDefault="00966CBD" w:rsidP="00966C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Pada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bagian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disebutkan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pihak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atau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unit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dilingkungan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perguruan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tinggi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wajib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menerapkan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kebijakan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SPMI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perguruan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tinggi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</w:tc>
      </w:tr>
      <w:tr w:rsidR="00966CBD" w:rsidRPr="00966CBD" w:rsidTr="00966CBD">
        <w:tc>
          <w:tcPr>
            <w:tcW w:w="648" w:type="dxa"/>
          </w:tcPr>
          <w:p w:rsidR="00966CBD" w:rsidRPr="00966CBD" w:rsidRDefault="00966CBD" w:rsidP="00966CB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3330" w:type="dxa"/>
          </w:tcPr>
          <w:p w:rsidR="00966CBD" w:rsidRPr="00966CBD" w:rsidRDefault="00966CBD" w:rsidP="00966C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Daftar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definii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berbagai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istilah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dalam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SPMI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perguruan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tinggi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5400" w:type="dxa"/>
          </w:tcPr>
          <w:p w:rsidR="00966CBD" w:rsidRPr="00966CBD" w:rsidRDefault="00966CBD" w:rsidP="00966C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Sebutkan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semua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istilah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digunakan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dalam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SPMI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perguruan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tinggi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berikan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definisinya</w:t>
            </w:r>
            <w:proofErr w:type="spellEnd"/>
          </w:p>
        </w:tc>
      </w:tr>
      <w:tr w:rsidR="00966CBD" w:rsidRPr="00966CBD" w:rsidTr="00966CBD">
        <w:tc>
          <w:tcPr>
            <w:tcW w:w="648" w:type="dxa"/>
          </w:tcPr>
          <w:p w:rsidR="00966CBD" w:rsidRPr="00966CBD" w:rsidRDefault="00966CBD" w:rsidP="00966CB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3330" w:type="dxa"/>
          </w:tcPr>
          <w:p w:rsidR="00966CBD" w:rsidRPr="00966CBD" w:rsidRDefault="00966CBD" w:rsidP="00966C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Uraian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kebijakan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SPMI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lastRenderedPageBreak/>
              <w:t>perguruan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tinggi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5400" w:type="dxa"/>
          </w:tcPr>
          <w:p w:rsidR="00966CBD" w:rsidRPr="00966CBD" w:rsidRDefault="00966CBD" w:rsidP="00966C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lastRenderedPageBreak/>
              <w:t>Bagian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merupakan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dari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isi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kebijakan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SPMI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lastRenderedPageBreak/>
              <w:t>perguruan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tinggi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sehingga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harus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cukup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rinci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jelas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utuh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antara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lain</w:t>
            </w:r>
          </w:p>
          <w:p w:rsidR="00966CBD" w:rsidRPr="00966CBD" w:rsidRDefault="00966CBD" w:rsidP="00966CB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Tujuan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strategi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SPMI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perguruan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tinggi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  <w:p w:rsidR="00966CBD" w:rsidRPr="00966CBD" w:rsidRDefault="00966CBD" w:rsidP="00966CB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Asas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atau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prinsip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SPMI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perguruan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tinggi</w:t>
            </w:r>
            <w:proofErr w:type="spellEnd"/>
          </w:p>
          <w:p w:rsidR="00966CBD" w:rsidRPr="00966CBD" w:rsidRDefault="00966CBD" w:rsidP="00966CB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Manajemen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SPMI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perguruan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tinggi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yaitu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menggunakan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siklus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PPEP (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penetapan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pelaksaaan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evaluasi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pelaksanaan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pengendalian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pelaksaaan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peningkatan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standard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dikti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)</w:t>
            </w:r>
          </w:p>
          <w:p w:rsidR="00966CBD" w:rsidRPr="00966CBD" w:rsidRDefault="00966CBD" w:rsidP="00966CB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Unit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atau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pejabat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penanggung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jawab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implementasi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SPMI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perguruan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tinggi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pada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semua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aras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di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dalam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perguruan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tinggi</w:t>
            </w:r>
            <w:proofErr w:type="spellEnd"/>
          </w:p>
          <w:p w:rsidR="00966CBD" w:rsidRPr="00966CBD" w:rsidRDefault="00966CBD" w:rsidP="00966CB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Jumlah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anama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semua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standard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dalam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SPMI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perguruan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tinggi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(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hanya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disebutkan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nama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standard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tanpa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isi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standard)</w:t>
            </w:r>
          </w:p>
          <w:p w:rsidR="00966CBD" w:rsidRPr="00966CBD" w:rsidRDefault="00966CBD" w:rsidP="00966C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Bila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dibutuhkan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dapat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disertai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diagram,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gambar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skema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ilustrasi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atau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sejenis</w:t>
            </w:r>
            <w:proofErr w:type="spellEnd"/>
          </w:p>
        </w:tc>
      </w:tr>
      <w:tr w:rsidR="00966CBD" w:rsidRPr="00966CBD" w:rsidTr="00966CBD">
        <w:tc>
          <w:tcPr>
            <w:tcW w:w="648" w:type="dxa"/>
          </w:tcPr>
          <w:p w:rsidR="00966CBD" w:rsidRPr="00966CBD" w:rsidRDefault="00966CBD" w:rsidP="00966CB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3330" w:type="dxa"/>
          </w:tcPr>
          <w:p w:rsidR="00966CBD" w:rsidRPr="00966CBD" w:rsidRDefault="00966CBD" w:rsidP="00966C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Daftar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standard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pendidikan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tinggi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digunakan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dalam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SPMI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perguruan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tinggi</w:t>
            </w:r>
            <w:proofErr w:type="spellEnd"/>
          </w:p>
        </w:tc>
        <w:tc>
          <w:tcPr>
            <w:tcW w:w="5400" w:type="dxa"/>
          </w:tcPr>
          <w:p w:rsidR="00966CBD" w:rsidRPr="00966CBD" w:rsidRDefault="00966CBD" w:rsidP="00966C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Jumlah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nama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semua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standard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dalam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SMPI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perguruan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tinggi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(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hanya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disebutkan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anama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standard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tanpa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isi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standard)</w:t>
            </w:r>
          </w:p>
        </w:tc>
      </w:tr>
      <w:tr w:rsidR="00966CBD" w:rsidRPr="00966CBD" w:rsidTr="00966CBD">
        <w:tc>
          <w:tcPr>
            <w:tcW w:w="648" w:type="dxa"/>
          </w:tcPr>
          <w:p w:rsidR="00966CBD" w:rsidRPr="00966CBD" w:rsidRDefault="00966CBD" w:rsidP="00966CB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3330" w:type="dxa"/>
          </w:tcPr>
          <w:p w:rsidR="00966CBD" w:rsidRPr="00966CBD" w:rsidRDefault="00966CBD" w:rsidP="00966C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Referensi</w:t>
            </w:r>
            <w:proofErr w:type="spellEnd"/>
          </w:p>
        </w:tc>
        <w:tc>
          <w:tcPr>
            <w:tcW w:w="5400" w:type="dxa"/>
          </w:tcPr>
          <w:p w:rsidR="00966CBD" w:rsidRPr="00966CBD" w:rsidRDefault="00966CBD" w:rsidP="00966C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Peraturan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perundang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undangan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dokumen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lain yang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terkait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atau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disebut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dalam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kebijakan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SPMI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perguruan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tinggi</w:t>
            </w:r>
            <w:proofErr w:type="spellEnd"/>
            <w:r w:rsidRPr="00966CB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</w:tc>
      </w:tr>
    </w:tbl>
    <w:p w:rsidR="002F30E9" w:rsidRPr="00966CBD" w:rsidRDefault="002F30E9">
      <w:pPr>
        <w:rPr>
          <w:rFonts w:ascii="Times New Roman" w:hAnsi="Times New Roman" w:cs="Times New Roman"/>
          <w:sz w:val="24"/>
          <w:szCs w:val="24"/>
          <w:lang w:val="en-ID"/>
        </w:rPr>
      </w:pPr>
    </w:p>
    <w:sectPr w:rsidR="002F30E9" w:rsidRPr="00966C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6B41"/>
    <w:multiLevelType w:val="hybridMultilevel"/>
    <w:tmpl w:val="B332F4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81FA9"/>
    <w:multiLevelType w:val="hybridMultilevel"/>
    <w:tmpl w:val="AA2E1E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F1FAF"/>
    <w:multiLevelType w:val="hybridMultilevel"/>
    <w:tmpl w:val="14E60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E9"/>
    <w:rsid w:val="002F30E9"/>
    <w:rsid w:val="004119DB"/>
    <w:rsid w:val="00412634"/>
    <w:rsid w:val="00796696"/>
    <w:rsid w:val="0084297E"/>
    <w:rsid w:val="00966CBD"/>
    <w:rsid w:val="00DF31DC"/>
    <w:rsid w:val="00D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8F8A0E-46B8-4C12-A0C4-891BF276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3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2018-04-26T06:15:00Z</dcterms:created>
  <dcterms:modified xsi:type="dcterms:W3CDTF">2018-04-27T04:44:00Z</dcterms:modified>
</cp:coreProperties>
</file>